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9E" w:rsidRDefault="0044529E">
      <w:bookmarkStart w:id="0" w:name="_GoBack"/>
      <w:bookmarkEnd w:id="0"/>
      <w:r>
        <w:t>NOTE: Anthropologists no longer refer to any society or group of people as being “primitive” or “savage” or “barbaric” – people who have very simple technological resources may nonetheless be quite sophisticated in terms of religion, philosophy, kinship systems, art, music, etc.  Therefore, please excuse the following authors for using the terminology of their day.</w:t>
      </w:r>
    </w:p>
    <w:p w:rsidR="0044529E" w:rsidRDefault="0044529E"/>
    <w:p w:rsidR="00902BF4" w:rsidRDefault="00F04249">
      <w:r>
        <w:t>Examples of societies where children nurse for many years.</w:t>
      </w:r>
    </w:p>
    <w:p w:rsidR="00F04249" w:rsidRDefault="00F04249">
      <w:r>
        <w:t xml:space="preserve">First source:  </w:t>
      </w:r>
    </w:p>
    <w:p w:rsidR="00F04249" w:rsidRDefault="00F04249" w:rsidP="00F04249">
      <w:pPr>
        <w:spacing w:after="0"/>
      </w:pPr>
      <w:r>
        <w:t>Ford</w:t>
      </w:r>
      <w:r w:rsidR="000E1BA4">
        <w:t>;</w:t>
      </w:r>
      <w:r>
        <w:t xml:space="preserve"> </w:t>
      </w:r>
      <w:proofErr w:type="spellStart"/>
      <w:r>
        <w:t>Clellan</w:t>
      </w:r>
      <w:proofErr w:type="spellEnd"/>
      <w:r>
        <w:t xml:space="preserve"> Stearns  1945</w:t>
      </w:r>
    </w:p>
    <w:p w:rsidR="00F04249" w:rsidRDefault="00F04249" w:rsidP="00F04249">
      <w:pPr>
        <w:spacing w:after="0"/>
      </w:pPr>
      <w:r>
        <w:tab/>
      </w:r>
      <w:r w:rsidRPr="00F04249">
        <w:rPr>
          <w:u w:val="single"/>
        </w:rPr>
        <w:t>A Comparative Study of Human Reproduction</w:t>
      </w:r>
      <w:r>
        <w:t>.  Yale University Publications in Anthropology</w:t>
      </w:r>
      <w:r w:rsidR="000E1BA4">
        <w:t>;</w:t>
      </w:r>
      <w:r>
        <w:t xml:space="preserve"> Number 32.  Yale University Press.</w:t>
      </w:r>
    </w:p>
    <w:p w:rsidR="00F04249" w:rsidRDefault="00F04249" w:rsidP="00F04249">
      <w:pPr>
        <w:spacing w:after="0"/>
      </w:pPr>
    </w:p>
    <w:p w:rsidR="00F04249" w:rsidRDefault="00F04249" w:rsidP="00F04249">
      <w:pPr>
        <w:spacing w:after="0"/>
      </w:pPr>
      <w:r>
        <w:t>Page 78: “The length of the nursing period varies markedly from society to society.</w:t>
      </w:r>
      <w:r w:rsidRPr="00F04249">
        <w:rPr>
          <w:vertAlign w:val="superscript"/>
        </w:rPr>
        <w:t>11</w:t>
      </w:r>
      <w:r>
        <w:rPr>
          <w:vertAlign w:val="superscript"/>
        </w:rPr>
        <w:t xml:space="preserve"> </w:t>
      </w:r>
      <w:r>
        <w:t xml:space="preserve"> The average age of weaning in our tribes is between three and four years.  In a few societies complete renunciation of the breast is deferred until the age of six or even longer.  The </w:t>
      </w:r>
      <w:proofErr w:type="spellStart"/>
      <w:r>
        <w:t>Andamanese</w:t>
      </w:r>
      <w:proofErr w:type="spellEnd"/>
      <w:r>
        <w:t xml:space="preserve"> and Copper Eskimos children</w:t>
      </w:r>
      <w:r w:rsidR="000E1BA4">
        <w:t>,</w:t>
      </w:r>
      <w:r>
        <w:t xml:space="preserve"> for example</w:t>
      </w:r>
      <w:r w:rsidR="000E1BA4">
        <w:t>,</w:t>
      </w:r>
      <w:r>
        <w:t xml:space="preserve"> are permitted to suckle</w:t>
      </w:r>
      <w:r w:rsidR="000E1BA4">
        <w:t xml:space="preserve"> as long as nurses are available</w:t>
      </w:r>
      <w:r>
        <w:t>.  Cases are reported in the literature</w:t>
      </w:r>
      <w:r w:rsidR="000E1BA4">
        <w:t>,</w:t>
      </w:r>
      <w:r>
        <w:t xml:space="preserve"> of children occasionally nursing up to the age of twelve. . . . Quite regardless of the availability and use of other suitable foods</w:t>
      </w:r>
      <w:r w:rsidR="000E1BA4">
        <w:t>,</w:t>
      </w:r>
      <w:r>
        <w:t xml:space="preserve"> weaning seems to be delayed as long as it is at all possible in the great majority of our primitive societies.”</w:t>
      </w:r>
    </w:p>
    <w:p w:rsidR="00F04249" w:rsidRDefault="00F04249" w:rsidP="00F04249">
      <w:pPr>
        <w:spacing w:after="0"/>
      </w:pPr>
    </w:p>
    <w:p w:rsidR="00F04249" w:rsidRDefault="00F04249" w:rsidP="00F04249">
      <w:pPr>
        <w:spacing w:after="0"/>
      </w:pPr>
      <w:r>
        <w:t>Footnote #11</w:t>
      </w:r>
      <w:r w:rsidR="000E1BA4">
        <w:t>, also p. 78</w:t>
      </w:r>
      <w:r>
        <w:t>:</w:t>
      </w:r>
    </w:p>
    <w:p w:rsidR="00F04249" w:rsidRDefault="00F04249" w:rsidP="00F04249">
      <w:pPr>
        <w:spacing w:after="0"/>
      </w:pPr>
      <w:r>
        <w:t>“Number of years child is nursed: Ainu (3-4)</w:t>
      </w:r>
      <w:r w:rsidR="000E1BA4">
        <w:t>;</w:t>
      </w:r>
      <w:r>
        <w:t xml:space="preserve"> </w:t>
      </w:r>
      <w:proofErr w:type="spellStart"/>
      <w:r>
        <w:t>Andamanese</w:t>
      </w:r>
      <w:proofErr w:type="spellEnd"/>
      <w:r>
        <w:t xml:space="preserve"> (3-4)</w:t>
      </w:r>
      <w:r w:rsidR="000E1BA4">
        <w:t>;</w:t>
      </w:r>
      <w:r>
        <w:t xml:space="preserve"> </w:t>
      </w:r>
      <w:proofErr w:type="spellStart"/>
      <w:r>
        <w:t>Arunta</w:t>
      </w:r>
      <w:proofErr w:type="spellEnd"/>
      <w:r>
        <w:t xml:space="preserve"> (3-4)</w:t>
      </w:r>
      <w:r w:rsidR="000E1BA4">
        <w:t>;</w:t>
      </w:r>
      <w:r>
        <w:t xml:space="preserve"> </w:t>
      </w:r>
      <w:proofErr w:type="spellStart"/>
      <w:r>
        <w:t>Azande</w:t>
      </w:r>
      <w:proofErr w:type="spellEnd"/>
      <w:r>
        <w:t xml:space="preserve"> (3-6)</w:t>
      </w:r>
      <w:r w:rsidR="000E1BA4">
        <w:t>;</w:t>
      </w:r>
      <w:r>
        <w:t xml:space="preserve"> </w:t>
      </w:r>
      <w:proofErr w:type="spellStart"/>
      <w:r>
        <w:t>Baiga</w:t>
      </w:r>
      <w:proofErr w:type="spellEnd"/>
      <w:r>
        <w:t xml:space="preserve"> (2-3)</w:t>
      </w:r>
      <w:r w:rsidR="000E1BA4">
        <w:t>;</w:t>
      </w:r>
      <w:r>
        <w:t xml:space="preserve"> </w:t>
      </w:r>
      <w:proofErr w:type="spellStart"/>
      <w:r>
        <w:t>Bena</w:t>
      </w:r>
      <w:proofErr w:type="spellEnd"/>
      <w:r>
        <w:t xml:space="preserve"> (1.5-2)</w:t>
      </w:r>
      <w:r w:rsidR="000E1BA4">
        <w:t>;</w:t>
      </w:r>
      <w:r>
        <w:t xml:space="preserve"> </w:t>
      </w:r>
      <w:proofErr w:type="spellStart"/>
      <w:r>
        <w:t>Carib</w:t>
      </w:r>
      <w:proofErr w:type="spellEnd"/>
      <w:r>
        <w:t xml:space="preserve"> (1.5-2</w:t>
      </w:r>
      <w:r w:rsidR="000E1BA4">
        <w:t>;</w:t>
      </w:r>
      <w:r>
        <w:t xml:space="preserve"> occ. 2-3)</w:t>
      </w:r>
      <w:r w:rsidR="000E1BA4">
        <w:t>;</w:t>
      </w:r>
      <w:r>
        <w:t xml:space="preserve"> Copper Eskimo (3-4)</w:t>
      </w:r>
      <w:r w:rsidR="000E1BA4">
        <w:t>;</w:t>
      </w:r>
      <w:r>
        <w:t xml:space="preserve"> Crow (1.5-2)</w:t>
      </w:r>
      <w:r w:rsidR="000E1BA4">
        <w:t>;</w:t>
      </w:r>
      <w:r>
        <w:t xml:space="preserve"> </w:t>
      </w:r>
      <w:proofErr w:type="spellStart"/>
      <w:r>
        <w:t>Dobuans</w:t>
      </w:r>
      <w:proofErr w:type="spellEnd"/>
      <w:r>
        <w:t xml:space="preserve"> (occ. 1.5-2)</w:t>
      </w:r>
      <w:r w:rsidR="000E1BA4">
        <w:t>;</w:t>
      </w:r>
      <w:r>
        <w:t xml:space="preserve"> Hope (1.5-3)</w:t>
      </w:r>
      <w:r w:rsidR="000E1BA4">
        <w:t>;</w:t>
      </w:r>
      <w:r>
        <w:t xml:space="preserve"> </w:t>
      </w:r>
      <w:proofErr w:type="spellStart"/>
      <w:r>
        <w:t>Jivaro</w:t>
      </w:r>
      <w:proofErr w:type="spellEnd"/>
      <w:r>
        <w:t xml:space="preserve"> (2-3)</w:t>
      </w:r>
      <w:r w:rsidR="000E1BA4">
        <w:t>;</w:t>
      </w:r>
      <w:r>
        <w:t xml:space="preserve"> </w:t>
      </w:r>
      <w:proofErr w:type="spellStart"/>
      <w:r>
        <w:t>Kababish</w:t>
      </w:r>
      <w:proofErr w:type="spellEnd"/>
      <w:r>
        <w:t xml:space="preserve"> (1.5-3)</w:t>
      </w:r>
      <w:r w:rsidR="000E1BA4">
        <w:t>;</w:t>
      </w:r>
      <w:r>
        <w:t xml:space="preserve"> </w:t>
      </w:r>
      <w:proofErr w:type="spellStart"/>
      <w:r>
        <w:t>Kurtatchi</w:t>
      </w:r>
      <w:proofErr w:type="spellEnd"/>
      <w:r>
        <w:t xml:space="preserve"> (2-4)</w:t>
      </w:r>
      <w:r w:rsidR="000E1BA4">
        <w:t>;</w:t>
      </w:r>
      <w:r>
        <w:t xml:space="preserve"> Kwakiutl (2-3)</w:t>
      </w:r>
      <w:r w:rsidR="000E1BA4">
        <w:t>;</w:t>
      </w:r>
      <w:r>
        <w:t xml:space="preserve"> </w:t>
      </w:r>
      <w:proofErr w:type="spellStart"/>
      <w:r>
        <w:t>Kwoma</w:t>
      </w:r>
      <w:proofErr w:type="spellEnd"/>
      <w:r>
        <w:t xml:space="preserve"> (2-3)</w:t>
      </w:r>
      <w:r w:rsidR="000E1BA4">
        <w:t>;</w:t>
      </w:r>
      <w:r>
        <w:t xml:space="preserve"> </w:t>
      </w:r>
      <w:proofErr w:type="spellStart"/>
      <w:r>
        <w:t>Lakher</w:t>
      </w:r>
      <w:proofErr w:type="spellEnd"/>
      <w:r>
        <w:t xml:space="preserve"> (2-3</w:t>
      </w:r>
      <w:r w:rsidR="000E1BA4">
        <w:t>;</w:t>
      </w:r>
      <w:r>
        <w:t xml:space="preserve"> occ. 3-4)</w:t>
      </w:r>
      <w:r w:rsidR="000E1BA4">
        <w:t>;</w:t>
      </w:r>
      <w:r>
        <w:t xml:space="preserve"> </w:t>
      </w:r>
      <w:proofErr w:type="spellStart"/>
      <w:r>
        <w:t>Lango</w:t>
      </w:r>
      <w:proofErr w:type="spellEnd"/>
      <w:r>
        <w:t xml:space="preserve"> (2-3)</w:t>
      </w:r>
      <w:r w:rsidR="000E1BA4">
        <w:t>;</w:t>
      </w:r>
      <w:r>
        <w:t xml:space="preserve"> </w:t>
      </w:r>
      <w:proofErr w:type="spellStart"/>
      <w:r>
        <w:t>Lepcha</w:t>
      </w:r>
      <w:proofErr w:type="spellEnd"/>
      <w:r>
        <w:t xml:space="preserve"> (3-4</w:t>
      </w:r>
      <w:r w:rsidR="000E1BA4">
        <w:t>;</w:t>
      </w:r>
      <w:r>
        <w:t xml:space="preserve"> occ. 6)</w:t>
      </w:r>
      <w:r w:rsidR="000E1BA4">
        <w:t>;</w:t>
      </w:r>
      <w:r>
        <w:t xml:space="preserve"> </w:t>
      </w:r>
      <w:proofErr w:type="spellStart"/>
      <w:r>
        <w:t>Lesu</w:t>
      </w:r>
      <w:proofErr w:type="spellEnd"/>
      <w:r>
        <w:t xml:space="preserve"> (2-3)</w:t>
      </w:r>
      <w:r w:rsidR="000E1BA4">
        <w:t>;</w:t>
      </w:r>
      <w:r>
        <w:t xml:space="preserve"> </w:t>
      </w:r>
      <w:proofErr w:type="spellStart"/>
      <w:r>
        <w:t>Macusi</w:t>
      </w:r>
      <w:proofErr w:type="spellEnd"/>
      <w:r>
        <w:t xml:space="preserve"> (3-4)</w:t>
      </w:r>
      <w:r w:rsidR="000E1BA4">
        <w:t>;</w:t>
      </w:r>
      <w:r>
        <w:t xml:space="preserve"> </w:t>
      </w:r>
      <w:proofErr w:type="spellStart"/>
      <w:r>
        <w:t>Malekulans</w:t>
      </w:r>
      <w:proofErr w:type="spellEnd"/>
      <w:r>
        <w:t xml:space="preserve"> (1/2-1)</w:t>
      </w:r>
      <w:r w:rsidR="000E1BA4">
        <w:t>;</w:t>
      </w:r>
      <w:r>
        <w:t xml:space="preserve"> Maori (1.5-2</w:t>
      </w:r>
      <w:r w:rsidR="000E1BA4">
        <w:t>;</w:t>
      </w:r>
      <w:r>
        <w:t xml:space="preserve"> 3-4)</w:t>
      </w:r>
      <w:r w:rsidR="000E1BA4">
        <w:t>;</w:t>
      </w:r>
      <w:r>
        <w:t xml:space="preserve"> Maricopa (3-4</w:t>
      </w:r>
      <w:r w:rsidR="000E1BA4">
        <w:t>;</w:t>
      </w:r>
      <w:r>
        <w:t xml:space="preserve"> occ. 1.5-2</w:t>
      </w:r>
      <w:r w:rsidR="000E1BA4">
        <w:t>;</w:t>
      </w:r>
      <w:r>
        <w:t xml:space="preserve"> 6)</w:t>
      </w:r>
      <w:r w:rsidR="000E1BA4">
        <w:t>;</w:t>
      </w:r>
      <w:r>
        <w:t xml:space="preserve"> </w:t>
      </w:r>
      <w:proofErr w:type="spellStart"/>
      <w:r>
        <w:t>Masai</w:t>
      </w:r>
      <w:proofErr w:type="spellEnd"/>
      <w:r>
        <w:t xml:space="preserve"> (1.5-3)</w:t>
      </w:r>
      <w:r w:rsidR="000E1BA4">
        <w:t>;</w:t>
      </w:r>
      <w:r>
        <w:t xml:space="preserve"> </w:t>
      </w:r>
      <w:proofErr w:type="spellStart"/>
      <w:r>
        <w:t>Mbundu</w:t>
      </w:r>
      <w:proofErr w:type="spellEnd"/>
      <w:r>
        <w:t xml:space="preserve"> (3-4)</w:t>
      </w:r>
      <w:r w:rsidR="000E1BA4">
        <w:t>;</w:t>
      </w:r>
      <w:r>
        <w:t xml:space="preserve"> </w:t>
      </w:r>
      <w:proofErr w:type="spellStart"/>
      <w:r>
        <w:t>Murngin</w:t>
      </w:r>
      <w:proofErr w:type="spellEnd"/>
      <w:r>
        <w:t xml:space="preserve"> (3-4)</w:t>
      </w:r>
      <w:r w:rsidR="000E1BA4">
        <w:t>;</w:t>
      </w:r>
      <w:r>
        <w:t xml:space="preserve"> </w:t>
      </w:r>
      <w:proofErr w:type="spellStart"/>
      <w:r>
        <w:t>Nama</w:t>
      </w:r>
      <w:proofErr w:type="spellEnd"/>
      <w:r>
        <w:t xml:space="preserve"> (3-4)</w:t>
      </w:r>
      <w:r w:rsidR="000E1BA4">
        <w:t>;</w:t>
      </w:r>
      <w:r>
        <w:t xml:space="preserve"> Omaha (2-4)</w:t>
      </w:r>
      <w:r w:rsidR="000E1BA4">
        <w:t>;</w:t>
      </w:r>
      <w:r>
        <w:t xml:space="preserve"> </w:t>
      </w:r>
      <w:proofErr w:type="spellStart"/>
      <w:r>
        <w:t>Sanpoil</w:t>
      </w:r>
      <w:proofErr w:type="spellEnd"/>
      <w:r>
        <w:t xml:space="preserve"> (1.5-3)</w:t>
      </w:r>
      <w:r w:rsidR="000E1BA4">
        <w:t>;</w:t>
      </w:r>
      <w:r>
        <w:t xml:space="preserve"> </w:t>
      </w:r>
      <w:proofErr w:type="spellStart"/>
      <w:r>
        <w:t>Sema</w:t>
      </w:r>
      <w:proofErr w:type="spellEnd"/>
      <w:r>
        <w:t xml:space="preserve"> (2-3)</w:t>
      </w:r>
      <w:r w:rsidR="000E1BA4">
        <w:t>;</w:t>
      </w:r>
      <w:r>
        <w:t xml:space="preserve"> </w:t>
      </w:r>
      <w:proofErr w:type="spellStart"/>
      <w:r>
        <w:t>Tanala</w:t>
      </w:r>
      <w:proofErr w:type="spellEnd"/>
      <w:r>
        <w:t xml:space="preserve"> (2-3)</w:t>
      </w:r>
      <w:r w:rsidR="000E1BA4">
        <w:t>;</w:t>
      </w:r>
      <w:r>
        <w:t xml:space="preserve"> </w:t>
      </w:r>
      <w:proofErr w:type="spellStart"/>
      <w:r>
        <w:t>Tarahumara</w:t>
      </w:r>
      <w:proofErr w:type="spellEnd"/>
      <w:r>
        <w:t xml:space="preserve"> (1.5-3)</w:t>
      </w:r>
      <w:r w:rsidR="000E1BA4">
        <w:t>;</w:t>
      </w:r>
      <w:r>
        <w:t xml:space="preserve"> </w:t>
      </w:r>
      <w:proofErr w:type="spellStart"/>
      <w:r>
        <w:t>Taulipang</w:t>
      </w:r>
      <w:proofErr w:type="spellEnd"/>
      <w:r>
        <w:t xml:space="preserve"> (1.5-2)</w:t>
      </w:r>
      <w:r w:rsidR="000E1BA4">
        <w:t>;</w:t>
      </w:r>
      <w:r>
        <w:t xml:space="preserve"> </w:t>
      </w:r>
      <w:proofErr w:type="spellStart"/>
      <w:r>
        <w:t>Thonga</w:t>
      </w:r>
      <w:proofErr w:type="spellEnd"/>
      <w:r>
        <w:t xml:space="preserve"> (2-3)</w:t>
      </w:r>
      <w:r w:rsidR="000E1BA4">
        <w:t>;</w:t>
      </w:r>
      <w:r>
        <w:t xml:space="preserve"> </w:t>
      </w:r>
      <w:proofErr w:type="spellStart"/>
      <w:r>
        <w:t>Tiv</w:t>
      </w:r>
      <w:proofErr w:type="spellEnd"/>
      <w:r>
        <w:t xml:space="preserve"> (2-3)</w:t>
      </w:r>
      <w:r w:rsidR="000E1BA4">
        <w:t>;</w:t>
      </w:r>
      <w:r>
        <w:t xml:space="preserve"> Toda (2-3)</w:t>
      </w:r>
      <w:r w:rsidR="000E1BA4">
        <w:t>;</w:t>
      </w:r>
      <w:r>
        <w:t xml:space="preserve"> </w:t>
      </w:r>
      <w:r w:rsidR="000E1BA4">
        <w:t xml:space="preserve">Tongans (2-3); </w:t>
      </w:r>
      <w:proofErr w:type="spellStart"/>
      <w:r w:rsidR="000E1BA4">
        <w:t>Trobrianders</w:t>
      </w:r>
      <w:proofErr w:type="spellEnd"/>
      <w:r w:rsidR="000E1BA4">
        <w:t xml:space="preserve"> (1.5-3); </w:t>
      </w:r>
      <w:proofErr w:type="spellStart"/>
      <w:r w:rsidR="000E1BA4">
        <w:t>Tubatulabal</w:t>
      </w:r>
      <w:proofErr w:type="spellEnd"/>
      <w:r w:rsidR="000E1BA4">
        <w:t xml:space="preserve"> (2-3); </w:t>
      </w:r>
      <w:proofErr w:type="spellStart"/>
      <w:r w:rsidR="000E1BA4">
        <w:t>Tupinamba</w:t>
      </w:r>
      <w:proofErr w:type="spellEnd"/>
      <w:r w:rsidR="000E1BA4">
        <w:t xml:space="preserve"> (1.5-2; 3-6); Venda (3-4); </w:t>
      </w:r>
      <w:proofErr w:type="spellStart"/>
      <w:r w:rsidR="000E1BA4">
        <w:t>Witoto</w:t>
      </w:r>
      <w:proofErr w:type="spellEnd"/>
      <w:r w:rsidR="000E1BA4">
        <w:t xml:space="preserve"> (3-4); Yakut (3-4); </w:t>
      </w:r>
      <w:proofErr w:type="spellStart"/>
      <w:r w:rsidR="000E1BA4">
        <w:t>Yukaghir</w:t>
      </w:r>
      <w:proofErr w:type="spellEnd"/>
      <w:r w:rsidR="000E1BA4">
        <w:t xml:space="preserve"> (3-4).”</w:t>
      </w:r>
    </w:p>
    <w:p w:rsidR="000E1BA4" w:rsidRDefault="000E1BA4" w:rsidP="00F04249">
      <w:pPr>
        <w:spacing w:after="0"/>
      </w:pPr>
    </w:p>
    <w:p w:rsidR="000E1BA4" w:rsidRDefault="000E1BA4" w:rsidP="00F04249">
      <w:pPr>
        <w:spacing w:after="0"/>
      </w:pPr>
      <w:r>
        <w:t>Second source:</w:t>
      </w:r>
    </w:p>
    <w:p w:rsidR="001D493A" w:rsidRDefault="001D493A" w:rsidP="00F04249">
      <w:pPr>
        <w:spacing w:after="0"/>
      </w:pPr>
    </w:p>
    <w:p w:rsidR="001D493A" w:rsidRDefault="001D493A" w:rsidP="00F04249">
      <w:pPr>
        <w:spacing w:after="0"/>
      </w:pPr>
      <w:r>
        <w:t xml:space="preserve">Wickes, Ian G.  </w:t>
      </w:r>
    </w:p>
    <w:p w:rsidR="001D493A" w:rsidRDefault="001D493A" w:rsidP="00F04249">
      <w:pPr>
        <w:spacing w:after="0"/>
        <w:rPr>
          <w:rStyle w:val="citation-flpages"/>
          <w:sz w:val="20"/>
          <w:szCs w:val="20"/>
        </w:rPr>
      </w:pPr>
      <w:r>
        <w:tab/>
        <w:t xml:space="preserve">“A History of Infant Feeding, Part I. Primitives Peoples: Ancient Works: Renaissance Writers.”  </w:t>
      </w:r>
      <w:r w:rsidRPr="001D493A">
        <w:rPr>
          <w:u w:val="single"/>
        </w:rPr>
        <w:t>Archives of Diseases in Childhood</w:t>
      </w:r>
      <w:r>
        <w:t xml:space="preserve">, </w:t>
      </w:r>
      <w:r>
        <w:rPr>
          <w:rStyle w:val="citation-publication-date"/>
          <w:sz w:val="20"/>
          <w:szCs w:val="20"/>
        </w:rPr>
        <w:t xml:space="preserve">1953 April; </w:t>
      </w:r>
      <w:r>
        <w:rPr>
          <w:rStyle w:val="citation-volume"/>
          <w:sz w:val="20"/>
          <w:szCs w:val="20"/>
        </w:rPr>
        <w:t>28</w:t>
      </w:r>
      <w:r>
        <w:rPr>
          <w:rStyle w:val="citation-issue"/>
          <w:sz w:val="20"/>
          <w:szCs w:val="20"/>
        </w:rPr>
        <w:t>(138)</w:t>
      </w:r>
      <w:r>
        <w:rPr>
          <w:rStyle w:val="citation-flpages"/>
          <w:sz w:val="20"/>
          <w:szCs w:val="20"/>
        </w:rPr>
        <w:t xml:space="preserve">: 151–158.  </w:t>
      </w:r>
    </w:p>
    <w:p w:rsidR="001D493A" w:rsidRDefault="001D493A" w:rsidP="00F04249">
      <w:pPr>
        <w:spacing w:after="0"/>
        <w:rPr>
          <w:rStyle w:val="citation-flpages"/>
          <w:sz w:val="20"/>
          <w:szCs w:val="20"/>
        </w:rPr>
      </w:pPr>
    </w:p>
    <w:p w:rsidR="001D493A" w:rsidRDefault="001D493A" w:rsidP="00F04249">
      <w:pPr>
        <w:spacing w:after="0"/>
        <w:rPr>
          <w:rStyle w:val="citation-flpages"/>
          <w:sz w:val="20"/>
          <w:szCs w:val="20"/>
        </w:rPr>
      </w:pPr>
      <w:r>
        <w:rPr>
          <w:rStyle w:val="citation-flpages"/>
          <w:sz w:val="20"/>
          <w:szCs w:val="20"/>
        </w:rPr>
        <w:t>“Hottentots seldom feed longer than about four months, Samoans less than one year, Armenians for one to two years, Australian Aborigines for two to three years, Greenlanders for three to four years, Hawaiians five years and Eskimos for about seven years reaching a maximum in King William Land of up to 15 years.  In these circumstances, a mother may be suckling two or more children of differe</w:t>
      </w:r>
      <w:r w:rsidR="004A632B">
        <w:rPr>
          <w:rStyle w:val="citation-flpages"/>
          <w:sz w:val="20"/>
          <w:szCs w:val="20"/>
        </w:rPr>
        <w:t>nt ages at the same time. “  p. 151</w:t>
      </w:r>
    </w:p>
    <w:p w:rsidR="004A632B" w:rsidRDefault="004A632B" w:rsidP="00F04249">
      <w:pPr>
        <w:spacing w:after="0"/>
        <w:rPr>
          <w:rStyle w:val="citation-flpages"/>
          <w:sz w:val="20"/>
          <w:szCs w:val="20"/>
        </w:rPr>
      </w:pPr>
    </w:p>
    <w:p w:rsidR="004A632B" w:rsidRDefault="004A632B" w:rsidP="00F04249">
      <w:pPr>
        <w:spacing w:after="0"/>
        <w:rPr>
          <w:rStyle w:val="citation-flpages"/>
          <w:sz w:val="20"/>
          <w:szCs w:val="20"/>
        </w:rPr>
      </w:pPr>
      <w:r>
        <w:rPr>
          <w:rStyle w:val="citation-flpages"/>
          <w:sz w:val="20"/>
          <w:szCs w:val="20"/>
        </w:rPr>
        <w:lastRenderedPageBreak/>
        <w:t xml:space="preserve">“. . . H. </w:t>
      </w:r>
      <w:proofErr w:type="spellStart"/>
      <w:r>
        <w:rPr>
          <w:rStyle w:val="citation-flpages"/>
          <w:sz w:val="20"/>
          <w:szCs w:val="20"/>
        </w:rPr>
        <w:t>Mercurialis</w:t>
      </w:r>
      <w:proofErr w:type="spellEnd"/>
      <w:r>
        <w:rPr>
          <w:rStyle w:val="citation-flpages"/>
          <w:sz w:val="20"/>
          <w:szCs w:val="20"/>
        </w:rPr>
        <w:t xml:space="preserve">, the misogynist, wrote “De Mortis </w:t>
      </w:r>
      <w:proofErr w:type="spellStart"/>
      <w:r>
        <w:rPr>
          <w:rStyle w:val="citation-flpages"/>
          <w:sz w:val="20"/>
          <w:szCs w:val="20"/>
        </w:rPr>
        <w:t>Puerorum</w:t>
      </w:r>
      <w:proofErr w:type="spellEnd"/>
      <w:r>
        <w:rPr>
          <w:rStyle w:val="citation-flpages"/>
          <w:sz w:val="20"/>
          <w:szCs w:val="20"/>
        </w:rPr>
        <w:t>” in 1583 in which he recorded that lactation may last for two or three years but most women (whom he described</w:t>
      </w:r>
      <w:r w:rsidR="00CF40B3">
        <w:rPr>
          <w:rStyle w:val="citation-flpages"/>
          <w:sz w:val="20"/>
          <w:szCs w:val="20"/>
        </w:rPr>
        <w:t xml:space="preserve"> as stupid and always making mistakes) gave pap by the third month and stopped breast feeding by the thirteenth in contrast with the old days when, for example, Plotinus at the age of eight used to run from his tutor to his nurse and clamor for the breast.”  P. 158</w:t>
      </w: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r>
        <w:rPr>
          <w:rStyle w:val="citation-flpages"/>
          <w:sz w:val="20"/>
          <w:szCs w:val="20"/>
        </w:rPr>
        <w:t>Third source:</w:t>
      </w: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r>
        <w:rPr>
          <w:rStyle w:val="citation-flpages"/>
          <w:sz w:val="20"/>
          <w:szCs w:val="20"/>
        </w:rPr>
        <w:t xml:space="preserve">Shelton, Herbert M.  1934  </w:t>
      </w:r>
      <w:r w:rsidRPr="00CF40B3">
        <w:rPr>
          <w:rStyle w:val="citation-flpages"/>
          <w:sz w:val="20"/>
          <w:szCs w:val="20"/>
          <w:u w:val="single"/>
        </w:rPr>
        <w:t>The Hygienic Care of Children</w:t>
      </w:r>
      <w:r>
        <w:rPr>
          <w:rStyle w:val="citation-flpages"/>
          <w:sz w:val="20"/>
          <w:szCs w:val="20"/>
        </w:rPr>
        <w:t>.  Tampa, Florida: The American Natural Hygiene Society.</w:t>
      </w: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r>
        <w:rPr>
          <w:rStyle w:val="citation-flpages"/>
          <w:sz w:val="20"/>
          <w:szCs w:val="20"/>
        </w:rPr>
        <w:t>Shelton speaks of the initial stage where the child gets only breast milk, then a transitional stage where he gets both breast milk and other foods.  So the end of the transitional stage would be what I call “weaning.”</w:t>
      </w: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r>
        <w:rPr>
          <w:rStyle w:val="citation-flpages"/>
          <w:sz w:val="20"/>
          <w:szCs w:val="20"/>
        </w:rPr>
        <w:t>“How long this transition lasts among various people is determined largely by the character of foods upon which they subsist.  I think it clear that the end of the third year should be the minimum duration of this period.  Five years may be regarded as its necessary maximum, although it is often seen to exceed this age by one to four or five years.”  p. 129</w:t>
      </w: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r>
        <w:rPr>
          <w:rStyle w:val="citation-flpages"/>
          <w:sz w:val="20"/>
          <w:szCs w:val="20"/>
        </w:rPr>
        <w:t>To clarify, Shelton is saying that the age of weaning is often seen to be 6-10 years, which I find a little overstated.</w:t>
      </w: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p>
    <w:p w:rsidR="00CF40B3" w:rsidRP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p>
    <w:p w:rsidR="00CF40B3" w:rsidRDefault="00CF40B3" w:rsidP="00F04249">
      <w:pPr>
        <w:spacing w:after="0"/>
        <w:rPr>
          <w:rStyle w:val="citation-flpages"/>
          <w:sz w:val="20"/>
          <w:szCs w:val="20"/>
        </w:rPr>
      </w:pPr>
    </w:p>
    <w:p w:rsidR="001D493A" w:rsidRDefault="001D493A" w:rsidP="00F04249">
      <w:pPr>
        <w:spacing w:after="0"/>
        <w:rPr>
          <w:rStyle w:val="citation-flpages"/>
          <w:sz w:val="20"/>
          <w:szCs w:val="20"/>
        </w:rPr>
      </w:pPr>
    </w:p>
    <w:p w:rsidR="001D493A" w:rsidRPr="00F04249" w:rsidRDefault="001D493A" w:rsidP="00F04249">
      <w:pPr>
        <w:spacing w:after="0"/>
      </w:pPr>
    </w:p>
    <w:p w:rsidR="00F04249" w:rsidRDefault="00F04249" w:rsidP="00F04249">
      <w:pPr>
        <w:spacing w:after="0"/>
      </w:pPr>
      <w:r>
        <w:tab/>
      </w:r>
    </w:p>
    <w:p w:rsidR="00F04249" w:rsidRDefault="00F04249"/>
    <w:sectPr w:rsidR="00F0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9"/>
    <w:rsid w:val="000E1BA4"/>
    <w:rsid w:val="001D493A"/>
    <w:rsid w:val="0044529E"/>
    <w:rsid w:val="004A632B"/>
    <w:rsid w:val="00902BF4"/>
    <w:rsid w:val="00CF40B3"/>
    <w:rsid w:val="00F04249"/>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1D493A"/>
  </w:style>
  <w:style w:type="character" w:customStyle="1" w:styleId="citation-volume">
    <w:name w:val="citation-volume"/>
    <w:basedOn w:val="DefaultParagraphFont"/>
    <w:rsid w:val="001D493A"/>
  </w:style>
  <w:style w:type="character" w:customStyle="1" w:styleId="citation-issue">
    <w:name w:val="citation-issue"/>
    <w:basedOn w:val="DefaultParagraphFont"/>
    <w:rsid w:val="001D493A"/>
  </w:style>
  <w:style w:type="character" w:customStyle="1" w:styleId="citation-flpages">
    <w:name w:val="citation-flpages"/>
    <w:basedOn w:val="DefaultParagraphFont"/>
    <w:rsid w:val="001D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1D493A"/>
  </w:style>
  <w:style w:type="character" w:customStyle="1" w:styleId="citation-volume">
    <w:name w:val="citation-volume"/>
    <w:basedOn w:val="DefaultParagraphFont"/>
    <w:rsid w:val="001D493A"/>
  </w:style>
  <w:style w:type="character" w:customStyle="1" w:styleId="citation-issue">
    <w:name w:val="citation-issue"/>
    <w:basedOn w:val="DefaultParagraphFont"/>
    <w:rsid w:val="001D493A"/>
  </w:style>
  <w:style w:type="character" w:customStyle="1" w:styleId="citation-flpages">
    <w:name w:val="citation-flpages"/>
    <w:basedOn w:val="DefaultParagraphFont"/>
    <w:rsid w:val="001D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 Library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Click Here!</cp:lastModifiedBy>
  <cp:revision>2</cp:revision>
  <dcterms:created xsi:type="dcterms:W3CDTF">2014-06-30T14:51:00Z</dcterms:created>
  <dcterms:modified xsi:type="dcterms:W3CDTF">2014-06-30T14:51:00Z</dcterms:modified>
</cp:coreProperties>
</file>